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3641" w:rsidRPr="00C92AF0" w:rsidRDefault="00883641" w:rsidP="00C92AF0">
      <w:pPr>
        <w:spacing w:line="360" w:lineRule="auto"/>
        <w:rPr>
          <w:b/>
          <w:sz w:val="28"/>
          <w:szCs w:val="28"/>
        </w:rPr>
      </w:pPr>
      <w:r w:rsidRPr="00C92AF0">
        <w:rPr>
          <w:b/>
          <w:sz w:val="28"/>
          <w:szCs w:val="28"/>
        </w:rPr>
        <w:t>Исследование стойкости покрытий к катодному отслаиванию</w:t>
      </w:r>
    </w:p>
    <w:p w:rsidR="00883641" w:rsidRPr="00C92AF0" w:rsidRDefault="00883641" w:rsidP="00C92AF0">
      <w:pPr>
        <w:spacing w:line="360" w:lineRule="auto"/>
        <w:ind w:firstLine="709"/>
        <w:jc w:val="center"/>
        <w:rPr>
          <w:sz w:val="28"/>
          <w:szCs w:val="28"/>
        </w:rPr>
      </w:pPr>
    </w:p>
    <w:p w:rsidR="00C92AF0" w:rsidRDefault="00C92AF0" w:rsidP="00C92AF0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Михайлова</w:t>
      </w:r>
      <w:r w:rsidRPr="00C92AF0">
        <w:rPr>
          <w:sz w:val="28"/>
          <w:szCs w:val="28"/>
        </w:rPr>
        <w:t xml:space="preserve"> М.А.</w:t>
      </w:r>
      <w:r w:rsidRPr="00C92AF0">
        <w:rPr>
          <w:sz w:val="28"/>
          <w:szCs w:val="28"/>
          <w:vertAlign w:val="superscript"/>
        </w:rPr>
        <w:t>1</w:t>
      </w:r>
      <w:r>
        <w:rPr>
          <w:sz w:val="28"/>
          <w:szCs w:val="28"/>
        </w:rPr>
        <w:t>, к.т.н.;</w:t>
      </w:r>
      <w:r w:rsidRPr="00C92AF0">
        <w:rPr>
          <w:sz w:val="28"/>
          <w:szCs w:val="28"/>
        </w:rPr>
        <w:t xml:space="preserve"> Яковлев</w:t>
      </w:r>
      <w:r>
        <w:rPr>
          <w:sz w:val="28"/>
          <w:szCs w:val="28"/>
        </w:rPr>
        <w:t xml:space="preserve"> </w:t>
      </w:r>
      <w:r w:rsidRPr="00C92AF0">
        <w:rPr>
          <w:sz w:val="28"/>
          <w:szCs w:val="28"/>
        </w:rPr>
        <w:t>Н.С.</w:t>
      </w:r>
      <w:r w:rsidRPr="00C92AF0"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  <w:vertAlign w:val="superscript"/>
        </w:rPr>
        <w:t>1</w:t>
      </w:r>
    </w:p>
    <w:p w:rsidR="00883641" w:rsidRPr="00C92AF0" w:rsidRDefault="00883641" w:rsidP="00C92AF0">
      <w:pPr>
        <w:spacing w:line="360" w:lineRule="auto"/>
        <w:ind w:firstLine="709"/>
        <w:jc w:val="center"/>
        <w:rPr>
          <w:sz w:val="28"/>
          <w:szCs w:val="28"/>
        </w:rPr>
      </w:pPr>
    </w:p>
    <w:p w:rsidR="00883641" w:rsidRPr="009A280D" w:rsidRDefault="009A280D" w:rsidP="00C92AF0">
      <w:pPr>
        <w:spacing w:line="360" w:lineRule="auto"/>
        <w:rPr>
          <w:i/>
          <w:sz w:val="28"/>
          <w:szCs w:val="28"/>
        </w:rPr>
      </w:pPr>
      <w:r w:rsidRPr="009A280D">
        <w:rPr>
          <w:i/>
          <w:sz w:val="28"/>
          <w:szCs w:val="28"/>
          <w:vertAlign w:val="superscript"/>
        </w:rPr>
        <w:t>1</w:t>
      </w:r>
      <w:r w:rsidR="00883641" w:rsidRPr="009A280D">
        <w:rPr>
          <w:i/>
          <w:sz w:val="28"/>
          <w:szCs w:val="28"/>
        </w:rPr>
        <w:t>ФГУП «ЦНИИ КМ «Прометей», г. Санкт-Петербург</w:t>
      </w:r>
      <w:bookmarkStart w:id="0" w:name="_GoBack"/>
      <w:bookmarkEnd w:id="0"/>
    </w:p>
    <w:p w:rsidR="00883641" w:rsidRPr="00C92AF0" w:rsidRDefault="00883641" w:rsidP="00C92AF0">
      <w:pPr>
        <w:spacing w:line="360" w:lineRule="auto"/>
        <w:ind w:firstLine="709"/>
        <w:jc w:val="center"/>
        <w:rPr>
          <w:sz w:val="28"/>
          <w:szCs w:val="28"/>
        </w:rPr>
      </w:pPr>
    </w:p>
    <w:p w:rsidR="00883641" w:rsidRPr="00C92AF0" w:rsidRDefault="00883641" w:rsidP="00C92AF0">
      <w:pPr>
        <w:spacing w:line="360" w:lineRule="auto"/>
        <w:ind w:firstLine="709"/>
        <w:jc w:val="both"/>
        <w:rPr>
          <w:sz w:val="28"/>
          <w:szCs w:val="28"/>
        </w:rPr>
      </w:pPr>
      <w:proofErr w:type="gramStart"/>
      <w:r w:rsidRPr="00C92AF0">
        <w:rPr>
          <w:sz w:val="28"/>
          <w:szCs w:val="28"/>
        </w:rPr>
        <w:t xml:space="preserve">Для зашиты от коррозии металла, </w:t>
      </w:r>
      <w:proofErr w:type="spellStart"/>
      <w:r w:rsidRPr="00C92AF0">
        <w:rPr>
          <w:sz w:val="28"/>
          <w:szCs w:val="28"/>
        </w:rPr>
        <w:t>эксплуатирующегося</w:t>
      </w:r>
      <w:proofErr w:type="spellEnd"/>
      <w:r w:rsidRPr="00C92AF0">
        <w:rPr>
          <w:sz w:val="28"/>
          <w:szCs w:val="28"/>
        </w:rPr>
        <w:t xml:space="preserve"> в различных растворах и почве, кроме покрытий используется электрохимическая (в частности катодная) защита</w:t>
      </w:r>
      <w:r w:rsidR="0006286B" w:rsidRPr="00C92AF0">
        <w:rPr>
          <w:sz w:val="28"/>
          <w:szCs w:val="28"/>
        </w:rPr>
        <w:t>,</w:t>
      </w:r>
      <w:r w:rsidRPr="00C92AF0">
        <w:rPr>
          <w:sz w:val="28"/>
          <w:szCs w:val="28"/>
        </w:rPr>
        <w:t xml:space="preserve"> роль которой состоит в снижении скорости коррозии на участках с местным повреждением покрытия.</w:t>
      </w:r>
      <w:proofErr w:type="gramEnd"/>
    </w:p>
    <w:p w:rsidR="00883641" w:rsidRPr="00C92AF0" w:rsidRDefault="00883641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>Поэтому важным показателем, характеризующим защитную способность противокоррозионных покрытий для защиты стальной подводной части корпусов судов, различных цистерн и трубопроводов, является устойчивость к катодному отслаивани</w:t>
      </w:r>
      <w:r w:rsidR="001371D0" w:rsidRPr="00C92AF0">
        <w:rPr>
          <w:sz w:val="28"/>
          <w:szCs w:val="28"/>
        </w:rPr>
        <w:t>ю</w:t>
      </w:r>
      <w:r w:rsidRPr="00C92AF0">
        <w:rPr>
          <w:sz w:val="28"/>
          <w:szCs w:val="28"/>
        </w:rPr>
        <w:t>.</w:t>
      </w:r>
    </w:p>
    <w:p w:rsidR="001371D0" w:rsidRPr="00C92AF0" w:rsidRDefault="001371D0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 xml:space="preserve">Катодное отслаивание – это электрохимический процесс, протекающий на границе металл-покрытие в среде электролита под воздействием катодной поляризации, приводящей к потере адгезии покрытия. Стойкость к катодному отслаиванию – комплексный показатель противокоррозионного покрытия, зависящий от подготовки поверхности, условий нанесения, свойств материалов, входящих в систему, и толщины покрытия. С его помощью можно подтвердить срок защитного действия покрытий на металлоконструкциях с дополнительной электрохимической защитой. </w:t>
      </w:r>
    </w:p>
    <w:p w:rsidR="001371D0" w:rsidRPr="00C92AF0" w:rsidRDefault="001371D0" w:rsidP="00C92AF0">
      <w:pPr>
        <w:spacing w:line="360" w:lineRule="auto"/>
        <w:ind w:firstLine="709"/>
        <w:jc w:val="both"/>
        <w:rPr>
          <w:spacing w:val="-4"/>
          <w:sz w:val="28"/>
          <w:szCs w:val="28"/>
        </w:rPr>
      </w:pPr>
      <w:r w:rsidRPr="00C92AF0">
        <w:rPr>
          <w:sz w:val="28"/>
          <w:szCs w:val="28"/>
        </w:rPr>
        <w:t xml:space="preserve">Для проведения типовых испытаний на устойчивость покрытий к катодному отслаиванию (при катодной поляризации) </w:t>
      </w:r>
      <w:r w:rsidR="00F65932" w:rsidRPr="00C92AF0">
        <w:rPr>
          <w:sz w:val="28"/>
          <w:szCs w:val="28"/>
        </w:rPr>
        <w:t>во ФГУП «ЦНИИ КМ «Прометей»</w:t>
      </w:r>
      <w:r w:rsidRPr="00C92AF0">
        <w:rPr>
          <w:sz w:val="28"/>
          <w:szCs w:val="28"/>
        </w:rPr>
        <w:t xml:space="preserve"> была разработана методика № 11/950435-МИ-01-2015 по оценке стойкости лакокрасочных и других органических покрытий к катодному отслаиванию при </w:t>
      </w:r>
      <w:r w:rsidRPr="00C92AF0">
        <w:rPr>
          <w:spacing w:val="-4"/>
          <w:sz w:val="28"/>
          <w:szCs w:val="28"/>
        </w:rPr>
        <w:t>эксплуатации стальных конструкц</w:t>
      </w:r>
      <w:r w:rsidR="00F65932" w:rsidRPr="00C92AF0">
        <w:rPr>
          <w:spacing w:val="-4"/>
          <w:sz w:val="28"/>
          <w:szCs w:val="28"/>
        </w:rPr>
        <w:t>ий, оснащенных катодной защитой</w:t>
      </w:r>
      <w:r w:rsidRPr="00C92AF0">
        <w:rPr>
          <w:spacing w:val="-4"/>
          <w:sz w:val="28"/>
          <w:szCs w:val="28"/>
        </w:rPr>
        <w:t xml:space="preserve"> в морск</w:t>
      </w:r>
      <w:r w:rsidR="00F65932" w:rsidRPr="00C92AF0">
        <w:rPr>
          <w:spacing w:val="-4"/>
          <w:sz w:val="28"/>
          <w:szCs w:val="28"/>
        </w:rPr>
        <w:t>ой</w:t>
      </w:r>
      <w:r w:rsidRPr="00C92AF0">
        <w:rPr>
          <w:spacing w:val="-4"/>
          <w:sz w:val="28"/>
          <w:szCs w:val="28"/>
        </w:rPr>
        <w:t xml:space="preserve"> вод</w:t>
      </w:r>
      <w:r w:rsidR="00F65932" w:rsidRPr="00C92AF0">
        <w:rPr>
          <w:spacing w:val="-4"/>
          <w:sz w:val="28"/>
          <w:szCs w:val="28"/>
        </w:rPr>
        <w:t>е.</w:t>
      </w:r>
    </w:p>
    <w:p w:rsidR="00652E33" w:rsidRPr="00C92AF0" w:rsidRDefault="001371D0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lastRenderedPageBreak/>
        <w:t xml:space="preserve">За основу была взята методика международного стандарта ИСО 15711 (метод А), разработанная для </w:t>
      </w:r>
      <w:r w:rsidR="003D6A31" w:rsidRPr="00C92AF0">
        <w:rPr>
          <w:sz w:val="28"/>
          <w:szCs w:val="28"/>
        </w:rPr>
        <w:t>лакокрасочных покрытий (</w:t>
      </w:r>
      <w:r w:rsidRPr="00C92AF0">
        <w:rPr>
          <w:sz w:val="28"/>
          <w:szCs w:val="28"/>
        </w:rPr>
        <w:t>ЛКП</w:t>
      </w:r>
      <w:r w:rsidR="003D6A31" w:rsidRPr="00C92AF0">
        <w:rPr>
          <w:sz w:val="28"/>
          <w:szCs w:val="28"/>
        </w:rPr>
        <w:t>)</w:t>
      </w:r>
      <w:r w:rsidRPr="00C92AF0">
        <w:rPr>
          <w:sz w:val="28"/>
          <w:szCs w:val="28"/>
        </w:rPr>
        <w:t>, подвергающихся воздействию морской воды</w:t>
      </w:r>
      <w:r w:rsidR="00652E33" w:rsidRPr="00C92AF0">
        <w:rPr>
          <w:sz w:val="28"/>
          <w:szCs w:val="28"/>
        </w:rPr>
        <w:t>.</w:t>
      </w:r>
    </w:p>
    <w:p w:rsidR="001371D0" w:rsidRPr="00C92AF0" w:rsidRDefault="001371D0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>Основные положения этой методики заключаются в следующем. В емкость из инертного материала заливается синтетическая морская вода. В центре емкости помещается графитовый</w:t>
      </w:r>
      <w:r w:rsidRPr="00C92AF0">
        <w:rPr>
          <w:sz w:val="28"/>
          <w:szCs w:val="28"/>
        </w:rPr>
        <w:tab/>
        <w:t xml:space="preserve"> анод, соединенный с положительным полюсом катода защитной цепи. Сюда же в определенном порядке полностью погружаются испытуемые пластины с ЛКП</w:t>
      </w:r>
      <w:r w:rsidR="00652E33" w:rsidRPr="00C92AF0">
        <w:rPr>
          <w:sz w:val="28"/>
          <w:szCs w:val="28"/>
        </w:rPr>
        <w:t xml:space="preserve">. </w:t>
      </w:r>
      <w:r w:rsidRPr="00C92AF0">
        <w:rPr>
          <w:sz w:val="28"/>
          <w:szCs w:val="28"/>
        </w:rPr>
        <w:t xml:space="preserve">На окрашенных пластинах предварительно делается искусственный дефект диаметром (10±1) мм не ближе 30 мм от края образца. </w:t>
      </w:r>
    </w:p>
    <w:p w:rsidR="001371D0" w:rsidRPr="00C92AF0" w:rsidRDefault="001371D0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>Каждый образец соединяется с отрицательным полюсом катодной защиты цепи с помощью изолированного проводника.</w:t>
      </w:r>
    </w:p>
    <w:p w:rsidR="00652E33" w:rsidRPr="00C92AF0" w:rsidRDefault="00652E33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>Схема установки для определения катодного отслаивания от искусственного надреза приведена на рис.</w:t>
      </w:r>
      <w:r w:rsidR="00D9551C" w:rsidRPr="00C92AF0">
        <w:rPr>
          <w:sz w:val="28"/>
          <w:szCs w:val="28"/>
        </w:rPr>
        <w:t>1</w:t>
      </w:r>
      <w:r w:rsidRPr="00C92AF0">
        <w:rPr>
          <w:sz w:val="28"/>
          <w:szCs w:val="28"/>
        </w:rPr>
        <w:t>.</w:t>
      </w:r>
    </w:p>
    <w:p w:rsidR="00C92AF0" w:rsidRDefault="000352FB" w:rsidP="000352FB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8115480">
            <wp:extent cx="3943350" cy="3247533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859" cy="3252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Ind w:w="9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1"/>
        <w:gridCol w:w="3366"/>
      </w:tblGrid>
      <w:tr w:rsidR="00652E33" w:rsidRPr="00C92AF0" w:rsidTr="000352FB">
        <w:trPr>
          <w:trHeight w:val="1470"/>
        </w:trPr>
        <w:tc>
          <w:tcPr>
            <w:tcW w:w="4961" w:type="dxa"/>
          </w:tcPr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1 – Источник постоянного тока</w:t>
            </w:r>
          </w:p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2 – Испытуемый образец</w:t>
            </w:r>
          </w:p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3 – Инертный анод (углеродный)</w:t>
            </w:r>
          </w:p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4 – Реостат</w:t>
            </w:r>
          </w:p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5 – Вольтметр</w:t>
            </w:r>
          </w:p>
        </w:tc>
        <w:tc>
          <w:tcPr>
            <w:tcW w:w="3366" w:type="dxa"/>
          </w:tcPr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6 – Емкость</w:t>
            </w:r>
          </w:p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7 – Электрод сравнения</w:t>
            </w:r>
          </w:p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8 – электролит</w:t>
            </w:r>
          </w:p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9 – компрессор</w:t>
            </w:r>
          </w:p>
          <w:p w:rsidR="00652E33" w:rsidRPr="000352FB" w:rsidRDefault="00652E33" w:rsidP="000352FB">
            <w:pPr>
              <w:spacing w:line="276" w:lineRule="auto"/>
              <w:ind w:left="851" w:hanging="851"/>
              <w:rPr>
                <w:szCs w:val="28"/>
              </w:rPr>
            </w:pPr>
            <w:r w:rsidRPr="000352FB">
              <w:rPr>
                <w:szCs w:val="28"/>
              </w:rPr>
              <w:t>10 – воздух</w:t>
            </w:r>
          </w:p>
        </w:tc>
      </w:tr>
      <w:tr w:rsidR="00652E33" w:rsidRPr="00C92AF0" w:rsidTr="000352FB">
        <w:tc>
          <w:tcPr>
            <w:tcW w:w="8327" w:type="dxa"/>
            <w:gridSpan w:val="2"/>
          </w:tcPr>
          <w:p w:rsidR="00652E33" w:rsidRPr="000352FB" w:rsidRDefault="00652E33" w:rsidP="000352FB">
            <w:pPr>
              <w:spacing w:line="276" w:lineRule="auto"/>
              <w:rPr>
                <w:szCs w:val="28"/>
              </w:rPr>
            </w:pPr>
            <w:r w:rsidRPr="000352FB">
              <w:rPr>
                <w:szCs w:val="28"/>
              </w:rPr>
              <w:t xml:space="preserve">Рис. </w:t>
            </w:r>
            <w:r w:rsidR="00D9551C" w:rsidRPr="000352FB">
              <w:rPr>
                <w:szCs w:val="28"/>
              </w:rPr>
              <w:t>1</w:t>
            </w:r>
            <w:r w:rsidRPr="000352FB">
              <w:rPr>
                <w:szCs w:val="28"/>
              </w:rPr>
              <w:t xml:space="preserve"> </w:t>
            </w:r>
            <w:r w:rsidR="000352FB">
              <w:rPr>
                <w:szCs w:val="28"/>
              </w:rPr>
              <w:t>–</w:t>
            </w:r>
            <w:r w:rsidRPr="000352FB">
              <w:rPr>
                <w:szCs w:val="28"/>
              </w:rPr>
              <w:t xml:space="preserve"> Схема установки для опреде</w:t>
            </w:r>
            <w:r w:rsidR="000352FB">
              <w:rPr>
                <w:szCs w:val="28"/>
              </w:rPr>
              <w:t>ления катодного отслаивания</w:t>
            </w:r>
          </w:p>
        </w:tc>
      </w:tr>
    </w:tbl>
    <w:p w:rsidR="00652E33" w:rsidRPr="00C92AF0" w:rsidRDefault="00652E33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lastRenderedPageBreak/>
        <w:t>Контрольные образцы помещаются подобным образом в аналогичную емкость, но без анода и катодной защитной цепи.</w:t>
      </w:r>
    </w:p>
    <w:p w:rsidR="00652E33" w:rsidRPr="00C92AF0" w:rsidRDefault="00652E33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>Испытания выполняются при температуре (23±2) С. Электролит в емкости полностью меняется по истечении 7 дней.</w:t>
      </w:r>
    </w:p>
    <w:p w:rsidR="00D9551C" w:rsidRPr="00C92AF0" w:rsidRDefault="00D9551C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 xml:space="preserve">После включения катодной защитной цепи устанавливают такое значение тока в </w:t>
      </w:r>
      <w:proofErr w:type="spellStart"/>
      <w:r w:rsidRPr="00C92AF0">
        <w:rPr>
          <w:sz w:val="28"/>
          <w:szCs w:val="28"/>
        </w:rPr>
        <w:t>потенциостате</w:t>
      </w:r>
      <w:proofErr w:type="spellEnd"/>
      <w:r w:rsidRPr="00C92AF0">
        <w:rPr>
          <w:sz w:val="28"/>
          <w:szCs w:val="28"/>
        </w:rPr>
        <w:t>, чтобы на каждом образце устанавливался электродный потенциал (минус 10</w:t>
      </w:r>
      <w:r w:rsidR="00B069DA" w:rsidRPr="00C92AF0">
        <w:rPr>
          <w:sz w:val="28"/>
          <w:szCs w:val="28"/>
        </w:rPr>
        <w:t>1</w:t>
      </w:r>
      <w:r w:rsidRPr="00C92AF0">
        <w:rPr>
          <w:sz w:val="28"/>
          <w:szCs w:val="28"/>
        </w:rPr>
        <w:t xml:space="preserve">0±5) мВ по отношению к </w:t>
      </w:r>
      <w:proofErr w:type="gramStart"/>
      <w:r w:rsidRPr="00C92AF0">
        <w:rPr>
          <w:sz w:val="28"/>
          <w:szCs w:val="28"/>
        </w:rPr>
        <w:t>хлор-серебряному</w:t>
      </w:r>
      <w:proofErr w:type="gramEnd"/>
      <w:r w:rsidRPr="00C92AF0">
        <w:rPr>
          <w:sz w:val="28"/>
          <w:szCs w:val="28"/>
        </w:rPr>
        <w:t xml:space="preserve"> электроду сравнения. Таким образом, образцы выдерживаются в растворе электролита под воздействием наложенного тока в течение 26 недель. При осмотрах испытуемых и контрольных образцов, испытуемые образцы быстро отсоединяются от цепи и промываются водопроводной водой таким образом, чтобы не повредить покрытие и не удалить катодный осадок, и осматриваются.</w:t>
      </w:r>
    </w:p>
    <w:p w:rsidR="00D9551C" w:rsidRPr="00C92AF0" w:rsidRDefault="00D9551C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 xml:space="preserve">Область катодного отслаивания находится вокруг искусственного дефекта, на которой покрытие может быть легко отслоено от стальной поверхности с помощью острого ножа. Средняя величина этого отслоения должна быть не более 20 мм. </w:t>
      </w:r>
    </w:p>
    <w:p w:rsidR="00D9551C" w:rsidRPr="00C92AF0" w:rsidRDefault="00D9551C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>Кроме того, оценивают внешний вид покрытия по ИСО 4628 (пузыри, коррозия) и потерю адгезии в районе отверстия и сравнивают результаты, полученные на испытываемых и контрольных образцах.</w:t>
      </w:r>
    </w:p>
    <w:p w:rsidR="00D9551C" w:rsidRPr="00C92AF0" w:rsidRDefault="00D9551C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>Для выполнения испытаний по оценке величины катодного отслаивания была собрана установка, изображенная на рис. 2.</w:t>
      </w:r>
    </w:p>
    <w:p w:rsidR="00172204" w:rsidRPr="00C92AF0" w:rsidRDefault="00172204" w:rsidP="00C92AF0">
      <w:pPr>
        <w:spacing w:line="360" w:lineRule="auto"/>
        <w:ind w:firstLine="709"/>
        <w:jc w:val="both"/>
        <w:rPr>
          <w:sz w:val="28"/>
          <w:szCs w:val="28"/>
        </w:rPr>
      </w:pPr>
    </w:p>
    <w:p w:rsidR="00172204" w:rsidRPr="00C92AF0" w:rsidRDefault="00172204" w:rsidP="000352FB">
      <w:pPr>
        <w:spacing w:line="360" w:lineRule="auto"/>
        <w:jc w:val="center"/>
        <w:rPr>
          <w:sz w:val="28"/>
          <w:szCs w:val="28"/>
        </w:rPr>
      </w:pPr>
      <w:r w:rsidRPr="00C92AF0">
        <w:rPr>
          <w:noProof/>
          <w:sz w:val="28"/>
          <w:szCs w:val="28"/>
        </w:rPr>
        <w:lastRenderedPageBreak/>
        <w:drawing>
          <wp:inline distT="0" distB="0" distL="0" distR="0" wp14:anchorId="206BF6D3" wp14:editId="68E8CB66">
            <wp:extent cx="3600000" cy="2668399"/>
            <wp:effectExtent l="0" t="0" r="635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668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2204" w:rsidRPr="000352FB" w:rsidRDefault="00172204" w:rsidP="000352FB">
      <w:pPr>
        <w:spacing w:line="360" w:lineRule="auto"/>
        <w:jc w:val="center"/>
        <w:rPr>
          <w:szCs w:val="28"/>
        </w:rPr>
      </w:pPr>
      <w:r w:rsidRPr="000352FB">
        <w:rPr>
          <w:szCs w:val="28"/>
        </w:rPr>
        <w:t xml:space="preserve">Рис. 2 </w:t>
      </w:r>
      <w:r w:rsidR="000352FB" w:rsidRPr="000352FB">
        <w:rPr>
          <w:szCs w:val="28"/>
        </w:rPr>
        <w:t xml:space="preserve">– </w:t>
      </w:r>
      <w:r w:rsidRPr="000352FB">
        <w:rPr>
          <w:szCs w:val="28"/>
        </w:rPr>
        <w:t>Установка гальваностатическая катодная (УГК)</w:t>
      </w:r>
    </w:p>
    <w:p w:rsidR="00172204" w:rsidRPr="00C92AF0" w:rsidRDefault="00172204" w:rsidP="00C92AF0">
      <w:pPr>
        <w:spacing w:line="360" w:lineRule="auto"/>
        <w:ind w:firstLine="709"/>
        <w:jc w:val="both"/>
        <w:rPr>
          <w:sz w:val="28"/>
          <w:szCs w:val="28"/>
        </w:rPr>
      </w:pPr>
    </w:p>
    <w:p w:rsidR="001371D0" w:rsidRPr="00C92AF0" w:rsidRDefault="00D9551C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>За истекший период на изготовленной установке успешно провели испытания две системы покрытий для подводной части судов, начинаются испытания следующих двух систем.</w:t>
      </w:r>
    </w:p>
    <w:p w:rsidR="00D9551C" w:rsidRPr="00C92AF0" w:rsidRDefault="00D9551C" w:rsidP="00C92AF0">
      <w:pPr>
        <w:spacing w:line="360" w:lineRule="auto"/>
        <w:ind w:firstLine="709"/>
        <w:jc w:val="both"/>
        <w:rPr>
          <w:sz w:val="28"/>
          <w:szCs w:val="28"/>
        </w:rPr>
      </w:pPr>
      <w:r w:rsidRPr="00C92AF0">
        <w:rPr>
          <w:sz w:val="28"/>
          <w:szCs w:val="28"/>
        </w:rPr>
        <w:t>Обращаю Ваше внимание, что установка может быть использована для испытаний покрытий для прибрежных сооружений по ИСО 20340, где в качестве обязательного требования включена совместимость с катодной защитой.</w:t>
      </w:r>
    </w:p>
    <w:p w:rsidR="001D3DCD" w:rsidRPr="00C92AF0" w:rsidRDefault="001D3DCD" w:rsidP="00C92AF0">
      <w:pPr>
        <w:spacing w:line="360" w:lineRule="auto"/>
        <w:ind w:firstLine="709"/>
        <w:jc w:val="both"/>
        <w:rPr>
          <w:sz w:val="28"/>
          <w:szCs w:val="28"/>
        </w:rPr>
      </w:pPr>
    </w:p>
    <w:p w:rsidR="001D3DCD" w:rsidRPr="00C92AF0" w:rsidRDefault="001D3DCD" w:rsidP="00C92AF0">
      <w:pPr>
        <w:spacing w:line="360" w:lineRule="auto"/>
        <w:ind w:firstLine="709"/>
        <w:jc w:val="both"/>
        <w:rPr>
          <w:sz w:val="28"/>
          <w:szCs w:val="28"/>
        </w:rPr>
      </w:pPr>
    </w:p>
    <w:p w:rsidR="001D3DCD" w:rsidRPr="00C92AF0" w:rsidRDefault="001D3DCD" w:rsidP="00C92AF0">
      <w:pPr>
        <w:spacing w:line="360" w:lineRule="auto"/>
        <w:ind w:firstLine="709"/>
        <w:jc w:val="both"/>
        <w:rPr>
          <w:sz w:val="28"/>
          <w:szCs w:val="28"/>
        </w:rPr>
      </w:pPr>
    </w:p>
    <w:p w:rsidR="001D3DCD" w:rsidRPr="00C92AF0" w:rsidRDefault="001D3DCD" w:rsidP="00C92AF0">
      <w:pPr>
        <w:spacing w:line="360" w:lineRule="auto"/>
        <w:ind w:firstLine="709"/>
        <w:jc w:val="both"/>
        <w:rPr>
          <w:sz w:val="28"/>
          <w:szCs w:val="28"/>
        </w:rPr>
      </w:pPr>
    </w:p>
    <w:p w:rsidR="001D3DCD" w:rsidRPr="00C92AF0" w:rsidRDefault="001D3DCD" w:rsidP="00C92AF0">
      <w:pPr>
        <w:spacing w:line="360" w:lineRule="auto"/>
        <w:ind w:firstLine="709"/>
        <w:jc w:val="both"/>
        <w:rPr>
          <w:sz w:val="28"/>
          <w:szCs w:val="28"/>
        </w:rPr>
      </w:pPr>
    </w:p>
    <w:p w:rsidR="001D3DCD" w:rsidRPr="00C92AF0" w:rsidRDefault="001D3DCD" w:rsidP="00C92AF0">
      <w:pPr>
        <w:spacing w:line="360" w:lineRule="auto"/>
        <w:ind w:firstLine="709"/>
        <w:jc w:val="both"/>
        <w:rPr>
          <w:sz w:val="28"/>
          <w:szCs w:val="28"/>
        </w:rPr>
      </w:pPr>
    </w:p>
    <w:p w:rsidR="001D3DCD" w:rsidRPr="00C92AF0" w:rsidRDefault="001D3DCD" w:rsidP="00C92AF0">
      <w:pPr>
        <w:spacing w:line="360" w:lineRule="auto"/>
        <w:ind w:firstLine="709"/>
        <w:jc w:val="both"/>
        <w:rPr>
          <w:sz w:val="28"/>
          <w:szCs w:val="28"/>
        </w:rPr>
      </w:pPr>
    </w:p>
    <w:p w:rsidR="00172204" w:rsidRPr="00C92AF0" w:rsidRDefault="00172204" w:rsidP="00C92AF0">
      <w:pPr>
        <w:spacing w:line="360" w:lineRule="auto"/>
        <w:ind w:firstLine="709"/>
        <w:jc w:val="both"/>
        <w:rPr>
          <w:sz w:val="28"/>
          <w:szCs w:val="28"/>
        </w:rPr>
      </w:pPr>
    </w:p>
    <w:sectPr w:rsidR="00172204" w:rsidRPr="00C92AF0" w:rsidSect="00C92AF0">
      <w:footerReference w:type="default" r:id="rId9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4D96" w:rsidRDefault="00FC4D96" w:rsidP="00172204">
      <w:r>
        <w:separator/>
      </w:r>
    </w:p>
  </w:endnote>
  <w:endnote w:type="continuationSeparator" w:id="0">
    <w:p w:rsidR="00FC4D96" w:rsidRDefault="00FC4D96" w:rsidP="001722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63429249"/>
      <w:docPartObj>
        <w:docPartGallery w:val="Page Numbers (Bottom of Page)"/>
        <w:docPartUnique/>
      </w:docPartObj>
    </w:sdtPr>
    <w:sdtEndPr/>
    <w:sdtContent>
      <w:p w:rsidR="00172204" w:rsidRDefault="0017220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280D">
          <w:rPr>
            <w:noProof/>
          </w:rPr>
          <w:t>2</w:t>
        </w:r>
        <w:r>
          <w:fldChar w:fldCharType="end"/>
        </w:r>
      </w:p>
    </w:sdtContent>
  </w:sdt>
  <w:p w:rsidR="00172204" w:rsidRDefault="0017220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4D96" w:rsidRDefault="00FC4D96" w:rsidP="00172204">
      <w:r>
        <w:separator/>
      </w:r>
    </w:p>
  </w:footnote>
  <w:footnote w:type="continuationSeparator" w:id="0">
    <w:p w:rsidR="00FC4D96" w:rsidRDefault="00FC4D96" w:rsidP="0017220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4EC5"/>
    <w:rsid w:val="000352FB"/>
    <w:rsid w:val="0006286B"/>
    <w:rsid w:val="001371D0"/>
    <w:rsid w:val="00172204"/>
    <w:rsid w:val="001D3DCD"/>
    <w:rsid w:val="002344B2"/>
    <w:rsid w:val="002B0D3A"/>
    <w:rsid w:val="0037746B"/>
    <w:rsid w:val="003D6A31"/>
    <w:rsid w:val="00466B90"/>
    <w:rsid w:val="005566AF"/>
    <w:rsid w:val="00652E33"/>
    <w:rsid w:val="006B05C2"/>
    <w:rsid w:val="00883641"/>
    <w:rsid w:val="009A280D"/>
    <w:rsid w:val="009D4EC5"/>
    <w:rsid w:val="00B02F28"/>
    <w:rsid w:val="00B069DA"/>
    <w:rsid w:val="00C00EED"/>
    <w:rsid w:val="00C92AF0"/>
    <w:rsid w:val="00D9551C"/>
    <w:rsid w:val="00F65932"/>
    <w:rsid w:val="00F856A6"/>
    <w:rsid w:val="00FC4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6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52E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17220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1722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17220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722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069D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069D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6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52E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17220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1722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17220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7220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069D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069D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644</Words>
  <Characters>3674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 ОРЛОВА</dc:creator>
  <cp:lastModifiedBy>Маргарита Сергеевна Закржевская</cp:lastModifiedBy>
  <cp:revision>7</cp:revision>
  <dcterms:created xsi:type="dcterms:W3CDTF">2016-02-15T12:21:00Z</dcterms:created>
  <dcterms:modified xsi:type="dcterms:W3CDTF">2016-02-26T05:21:00Z</dcterms:modified>
</cp:coreProperties>
</file>